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768AC"/>
          <w:sz w:val="18"/>
          <w:szCs w:val="18"/>
        </w:rPr>
        <w:t xml:space="preserve">HEALTHCARE ACCESS GOVERNANCE &amp; IDENTITY TRANSFORMATION</w:t>
      </w:r>
    </w:p>
    <w:p>
      <w:pPr>
        <w:spacing w:after="240"/>
      </w:pPr>
      <w:r>
        <w:rPr>
          <w:b/>
          <w:bCs/>
          <w:color w:val="0B2545"/>
          <w:sz w:val="40"/>
          <w:szCs w:val="40"/>
        </w:rPr>
        <w:t xml:space="preserve">Bolaji B. Adeeko, LLC</w:t>
      </w:r>
    </w:p>
    <w:p>
      <w:pPr>
        <w:spacing w:after="160"/>
      </w:pPr>
      <w:r>
        <w:rPr>
          <w:color w:val="475463"/>
        </w:rPr>
        <w:t xml:space="preserve">Bolaji B. Adeeko LLC partners with healthcare organizations to eliminate the operational friction caused by access governance gaps, onboarding delays, and fragmented identity workflows. Our work spans Epic Security, Identity and Access Management (IAM), Azure/Entra provisioning, RBAC architecture, and the operating-model transformation required to make governance sustainable at scale.</w:t>
      </w:r>
    </w:p>
    <w:p>
      <w:pPr>
        <w:pStyle w:val="Heading2"/>
      </w:pPr>
      <w:r>
        <w:t xml:space="preserve">Track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CCCCC" w:sz="1"/>
              <w:left w:val="single" w:color="CCCCCC" w:sz="1"/>
              <w:bottom w:val="single" w:color="CCCCCC" w:sz="1"/>
              <w:right w:val="single" w:color="CCCCCC" w:sz="1"/>
            </w:tcBorders>
            <w:shd w:fill="F5F7FA" w:val="clear"/>
            <w:tcMar>
              <w:top w:type="dxa" w:w="160"/>
              <w:left w:type="dxa" w:w="120"/>
              <w:bottom w:type="dxa" w:w="160"/>
              <w:right w:type="dxa" w:w="120"/>
            </w:tcMar>
          </w:tcPr>
          <w:p>
            <w:pPr>
              <w:jc w:val="center"/>
            </w:pPr>
            <w:r>
              <w:rPr>
                <w:b/>
                <w:bCs/>
                <w:color w:val="0B2545"/>
                <w:sz w:val="32"/>
                <w:szCs w:val="32"/>
              </w:rPr>
              <w:t xml:space="preserve">40+</w:t>
            </w:r>
          </w:p>
          <w:p>
            <w:pPr>
              <w:jc w:val="center"/>
            </w:pPr>
            <w:r>
              <w:rPr>
                <w:color w:val="475463"/>
                <w:sz w:val="16"/>
                <w:szCs w:val="16"/>
              </w:rPr>
              <w:t xml:space="preserve">Outpatient Facilities</w:t>
            </w:r>
          </w:p>
        </w:tc>
        <w:tc>
          <w:tcPr>
            <w:tcW w:type="dxa" w:w="2340"/>
            <w:tcBorders>
              <w:top w:val="single" w:color="CCCCCC" w:sz="1"/>
              <w:left w:val="single" w:color="CCCCCC" w:sz="1"/>
              <w:bottom w:val="single" w:color="CCCCCC" w:sz="1"/>
              <w:right w:val="single" w:color="CCCCCC" w:sz="1"/>
            </w:tcBorders>
            <w:shd w:fill="F5F7FA" w:val="clear"/>
            <w:tcMar>
              <w:top w:type="dxa" w:w="160"/>
              <w:left w:type="dxa" w:w="120"/>
              <w:bottom w:type="dxa" w:w="160"/>
              <w:right w:type="dxa" w:w="120"/>
            </w:tcMar>
          </w:tcPr>
          <w:p>
            <w:pPr>
              <w:jc w:val="center"/>
            </w:pPr>
            <w:r>
              <w:rPr>
                <w:b/>
                <w:bCs/>
                <w:color w:val="0B2545"/>
                <w:sz w:val="32"/>
                <w:szCs w:val="32"/>
              </w:rPr>
              <w:t xml:space="preserve">5,000+</w:t>
            </w:r>
          </w:p>
          <w:p>
            <w:pPr>
              <w:jc w:val="center"/>
            </w:pPr>
            <w:r>
              <w:rPr>
                <w:color w:val="475463"/>
                <w:sz w:val="16"/>
                <w:szCs w:val="16"/>
              </w:rPr>
              <w:t xml:space="preserve">Users Supported</w:t>
            </w:r>
          </w:p>
        </w:tc>
        <w:tc>
          <w:tcPr>
            <w:tcW w:type="dxa" w:w="2340"/>
            <w:tcBorders>
              <w:top w:val="single" w:color="CCCCCC" w:sz="1"/>
              <w:left w:val="single" w:color="CCCCCC" w:sz="1"/>
              <w:bottom w:val="single" w:color="CCCCCC" w:sz="1"/>
              <w:right w:val="single" w:color="CCCCCC" w:sz="1"/>
            </w:tcBorders>
            <w:shd w:fill="F5F7FA" w:val="clear"/>
            <w:tcMar>
              <w:top w:type="dxa" w:w="160"/>
              <w:left w:type="dxa" w:w="120"/>
              <w:bottom w:type="dxa" w:w="160"/>
              <w:right w:type="dxa" w:w="120"/>
            </w:tcMar>
          </w:tcPr>
          <w:p>
            <w:pPr>
              <w:jc w:val="center"/>
            </w:pPr>
            <w:r>
              <w:rPr>
                <w:b/>
                <w:bCs/>
                <w:color w:val="0B2545"/>
                <w:sz w:val="32"/>
                <w:szCs w:val="32"/>
              </w:rPr>
              <w:t xml:space="preserve">20+</w:t>
            </w:r>
          </w:p>
          <w:p>
            <w:pPr>
              <w:jc w:val="center"/>
            </w:pPr>
            <w:r>
              <w:rPr>
                <w:color w:val="475463"/>
                <w:sz w:val="16"/>
                <w:szCs w:val="16"/>
              </w:rPr>
              <w:t xml:space="preserve">Optimization Projects</w:t>
            </w:r>
          </w:p>
        </w:tc>
        <w:tc>
          <w:tcPr>
            <w:tcW w:type="dxa" w:w="2340"/>
            <w:tcBorders>
              <w:top w:val="single" w:color="CCCCCC" w:sz="1"/>
              <w:left w:val="single" w:color="CCCCCC" w:sz="1"/>
              <w:bottom w:val="single" w:color="CCCCCC" w:sz="1"/>
              <w:right w:val="single" w:color="CCCCCC" w:sz="1"/>
            </w:tcBorders>
            <w:shd w:fill="F5F7FA" w:val="clear"/>
            <w:tcMar>
              <w:top w:type="dxa" w:w="160"/>
              <w:left w:type="dxa" w:w="120"/>
              <w:bottom w:type="dxa" w:w="160"/>
              <w:right w:type="dxa" w:w="120"/>
            </w:tcMar>
          </w:tcPr>
          <w:p>
            <w:pPr>
              <w:jc w:val="center"/>
            </w:pPr>
            <w:r>
              <w:rPr>
                <w:b/>
                <w:bCs/>
                <w:color w:val="0B2545"/>
                <w:sz w:val="32"/>
                <w:szCs w:val="32"/>
              </w:rPr>
              <w:t xml:space="preserve">3 Yrs</w:t>
            </w:r>
          </w:p>
          <w:p>
            <w:pPr>
              <w:jc w:val="center"/>
            </w:pPr>
            <w:r>
              <w:rPr>
                <w:color w:val="475463"/>
                <w:sz w:val="16"/>
                <w:szCs w:val="16"/>
              </w:rPr>
              <w:t xml:space="preserve">Program Ownership</w:t>
            </w:r>
          </w:p>
        </w:tc>
      </w:tr>
    </w:tbl>
    <w:p/>
    <w:p>
      <w:pPr>
        <w:pStyle w:val="Heading2"/>
      </w:pPr>
      <w:r>
        <w:t xml:space="preserve">Core Capabilities</w:t>
      </w:r>
    </w:p>
    <w:p>
      <w:pPr>
        <w:pStyle w:val="ListParagraph"/>
        <w:numPr>
          <w:ilvl w:val="0"/>
          <w:numId w:val="2"/>
        </w:numPr>
        <w:spacing w:after="80"/>
      </w:pPr>
      <w:r>
        <w:rPr>
          <w:color w:val="475463"/>
        </w:rPr>
        <w:t xml:space="preserve">Epic Security architecture, provisioning, and role/template design</w:t>
      </w:r>
    </w:p>
    <w:p>
      <w:pPr>
        <w:pStyle w:val="ListParagraph"/>
        <w:numPr>
          <w:ilvl w:val="0"/>
          <w:numId w:val="2"/>
        </w:numPr>
        <w:spacing w:after="80"/>
      </w:pPr>
      <w:r>
        <w:rPr>
          <w:color w:val="475463"/>
        </w:rPr>
        <w:t xml:space="preserve">Identity &amp; Access Management (IAM) architecture and engineering</w:t>
      </w:r>
    </w:p>
    <w:p>
      <w:pPr>
        <w:pStyle w:val="ListParagraph"/>
        <w:numPr>
          <w:ilvl w:val="0"/>
          <w:numId w:val="2"/>
        </w:numPr>
        <w:spacing w:after="80"/>
      </w:pPr>
      <w:r>
        <w:rPr>
          <w:color w:val="475463"/>
        </w:rPr>
        <w:t xml:space="preserve">Role-Based Access Control (RBAC) framework design from the ground up</w:t>
      </w:r>
    </w:p>
    <w:p>
      <w:pPr>
        <w:pStyle w:val="ListParagraph"/>
        <w:numPr>
          <w:ilvl w:val="0"/>
          <w:numId w:val="2"/>
        </w:numPr>
        <w:spacing w:after="80"/>
      </w:pPr>
      <w:r>
        <w:rPr>
          <w:color w:val="475463"/>
        </w:rPr>
        <w:t xml:space="preserve">Azure AD / Entra ID provisioning and access governance</w:t>
      </w:r>
    </w:p>
    <w:p>
      <w:pPr>
        <w:pStyle w:val="ListParagraph"/>
        <w:numPr>
          <w:ilvl w:val="0"/>
          <w:numId w:val="2"/>
        </w:numPr>
        <w:spacing w:after="80"/>
      </w:pPr>
      <w:r>
        <w:rPr>
          <w:color w:val="475463"/>
        </w:rPr>
        <w:t xml:space="preserve">SQL-based security and audit reporting</w:t>
      </w:r>
    </w:p>
    <w:p>
      <w:pPr>
        <w:pStyle w:val="ListParagraph"/>
        <w:numPr>
          <w:ilvl w:val="0"/>
          <w:numId w:val="2"/>
        </w:numPr>
        <w:spacing w:after="80"/>
      </w:pPr>
      <w:r>
        <w:rPr>
          <w:color w:val="475463"/>
        </w:rPr>
        <w:t xml:space="preserve">SharePoint workflow development for access and operations teams</w:t>
      </w:r>
    </w:p>
    <w:p>
      <w:pPr>
        <w:pStyle w:val="ListParagraph"/>
        <w:numPr>
          <w:ilvl w:val="0"/>
          <w:numId w:val="2"/>
        </w:numPr>
        <w:spacing w:after="80"/>
      </w:pPr>
      <w:r>
        <w:rPr>
          <w:color w:val="475463"/>
        </w:rPr>
        <w:t xml:space="preserve">Healthcare operations, multi-site governance, and HIPAA-aligned controls</w:t>
      </w:r>
    </w:p>
    <w:p>
      <w:pPr>
        <w:pStyle w:val="ListParagraph"/>
        <w:numPr>
          <w:ilvl w:val="0"/>
          <w:numId w:val="2"/>
        </w:numPr>
        <w:spacing w:after="80"/>
      </w:pPr>
      <w:r>
        <w:rPr>
          <w:color w:val="475463"/>
        </w:rPr>
        <w:t xml:space="preserve">SOP design, standardized workflows, and cross-functional playbooks</w:t>
      </w:r>
    </w:p>
    <w:p>
      <w:pPr>
        <w:pStyle w:val="Heading2"/>
      </w:pPr>
      <w:r>
        <w:t xml:space="preserve">Representative Experience — Novant Health Community Connect</w:t>
      </w:r>
    </w:p>
    <w:p>
      <w:pPr>
        <w:spacing w:after="160"/>
      </w:pPr>
      <w:r>
        <w:rPr>
          <w:color w:val="475463"/>
        </w:rPr>
        <w:t xml:space="preserve">Owned access governance for the entire Community Connect program, serving 40+ unique outpatient practices and 5,000+ users over a three-year engagement.</w:t>
      </w:r>
    </w:p>
    <w:p>
      <w:pPr>
        <w:pStyle w:val="ListParagraph"/>
        <w:numPr>
          <w:ilvl w:val="0"/>
          <w:numId w:val="2"/>
        </w:numPr>
        <w:spacing w:after="80"/>
      </w:pPr>
      <w:r>
        <w:rPr>
          <w:color w:val="475463"/>
        </w:rPr>
        <w:t xml:space="preserve">Designed and implemented an enterprise RBAC framework from scratch across 40+ unique outpatient practices, in alignment with applicable security and compliance guidelines.</w:t>
      </w:r>
    </w:p>
    <w:p>
      <w:pPr>
        <w:pStyle w:val="ListParagraph"/>
        <w:numPr>
          <w:ilvl w:val="0"/>
          <w:numId w:val="2"/>
        </w:numPr>
        <w:spacing w:after="80"/>
      </w:pPr>
      <w:r>
        <w:rPr>
          <w:color w:val="475463"/>
        </w:rPr>
        <w:t xml:space="preserve">Led 20+ access optimization projects to successful completion, streamlining provisioning and review processes across the program.</w:t>
      </w:r>
    </w:p>
    <w:p>
      <w:pPr>
        <w:pStyle w:val="ListParagraph"/>
        <w:numPr>
          <w:ilvl w:val="0"/>
          <w:numId w:val="2"/>
        </w:numPr>
        <w:spacing w:after="80"/>
      </w:pPr>
      <w:r>
        <w:rPr>
          <w:color w:val="475463"/>
        </w:rPr>
        <w:t xml:space="preserve">Transformed a Community Connect support team that lacked clear ticket ownership into a documented, standardized operation — building SOPs and cross-team playbooks so any trained team member could step in and execute, regardless of who was originally assigned.</w:t>
      </w:r>
    </w:p>
    <w:p>
      <w:pPr>
        <w:pStyle w:val="ListParagraph"/>
        <w:numPr>
          <w:ilvl w:val="0"/>
          <w:numId w:val="2"/>
        </w:numPr>
        <w:spacing w:after="80"/>
      </w:pPr>
      <w:r>
        <w:rPr>
          <w:color w:val="475463"/>
        </w:rPr>
        <w:t xml:space="preserve">Served as the sole access governance owner for the program, balancing day-to-day provisioning with long-term framework design.</w:t>
      </w:r>
    </w:p>
    <w:p>
      <w:pPr>
        <w:pStyle w:val="Heading2"/>
      </w:pPr>
      <w:r>
        <w:t xml:space="preserve">Positioning</w:t>
      </w:r>
    </w:p>
    <w:p>
      <w:pPr>
        <w:spacing w:after="160"/>
      </w:pPr>
      <w:r>
        <w:rPr>
          <w:color w:val="475463"/>
        </w:rPr>
        <w:t xml:space="preserve">Bolaji B. Adeeko LLC is best engaged as a Healthcare Access Governance &amp; Operational Transformation Consultant — not as a point-in-time Epic technician. The firm's work consistently ties to the priorities healthcare executives are funding: risk reduction, audit readiness, onboarding velocity, and operational scalability.</w:t>
      </w:r>
    </w:p>
    <w:p>
      <w:pPr>
        <w:pStyle w:val="Heading2"/>
      </w:pPr>
      <w:r>
        <w:t xml:space="preserve">Credentials</w:t>
      </w:r>
    </w:p>
    <w:p>
      <w:pPr>
        <w:pStyle w:val="ListParagraph"/>
        <w:numPr>
          <w:ilvl w:val="0"/>
          <w:numId w:val="2"/>
        </w:numPr>
        <w:spacing w:after="80"/>
      </w:pPr>
      <w:r>
        <w:rPr>
          <w:color w:val="475463"/>
        </w:rPr>
        <w:t xml:space="preserve">Epic Security Certified Professional</w:t>
      </w:r>
    </w:p>
    <w:p>
      <w:pPr>
        <w:pStyle w:val="ListParagraph"/>
        <w:numPr>
          <w:ilvl w:val="0"/>
          <w:numId w:val="2"/>
        </w:numPr>
        <w:spacing w:after="80"/>
      </w:pPr>
      <w:r>
        <w:rPr>
          <w:color w:val="475463"/>
        </w:rPr>
        <w:t xml:space="preserve">Identity &amp; Access Management Architect</w:t>
      </w:r>
    </w:p>
    <w:p>
      <w:pPr>
        <w:pStyle w:val="ListParagraph"/>
        <w:numPr>
          <w:ilvl w:val="0"/>
          <w:numId w:val="2"/>
        </w:numPr>
        <w:spacing w:after="80"/>
      </w:pPr>
      <w:r>
        <w:rPr>
          <w:color w:val="475463"/>
        </w:rPr>
        <w:t xml:space="preserve">Healthcare Technology Consultant</w:t>
      </w:r>
    </w:p>
    <w:p>
      <w:pPr>
        <w:pStyle w:val="ListParagraph"/>
        <w:numPr>
          <w:ilvl w:val="0"/>
          <w:numId w:val="2"/>
        </w:numPr>
        <w:spacing w:after="80"/>
      </w:pPr>
      <w:r>
        <w:rPr>
          <w:color w:val="475463"/>
        </w:rPr>
        <w:t xml:space="preserve">SQL Reporting &amp; Automation Specialist</w:t>
      </w:r>
    </w:p>
    <w:p>
      <w:pPr>
        <w:pBdr>
          <w:top w:val="single" w:color="1768AC" w:sz="6" w:space="8"/>
        </w:pBdr>
        <w:spacing w:before="300"/>
      </w:pPr>
      <w:r>
        <w:rPr>
          <w:color w:val="475463"/>
          <w:sz w:val="18"/>
          <w:szCs w:val="18"/>
        </w:rPr>
        <w:t xml:space="preserve">Bolaji B. Adeeko LLC  |  botaxes7@gmail.com  |  Atlanta, Georgia</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475463"/>
        <w:sz w:val="16"/>
        <w:szCs w:val="16"/>
      </w:rPr>
      <w:t xml:space="preserve">Confidential — Prepared for Discussion Purposes</w:t>
    </w:r>
    <w:r>
      <w:rPr>
        <w:color w:val="475463"/>
        <w:sz w:val="16"/>
        <w:szCs w:val="16"/>
      </w:rPr>
      <w:t xml:space="preserve">	Page </w:t>
    </w:r>
    <w:r>
      <w:rPr>
        <w:color w:val="47546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768AC" w:sz="6" w:space="4"/>
      </w:pBdr>
      <w:tabs>
        <w:tab w:val="right" w:pos="9026"/>
      </w:tabs>
    </w:pPr>
    <w:r>
      <w:rPr>
        <w:b/>
        <w:bCs/>
        <w:color w:val="0B2545"/>
        <w:sz w:val="18"/>
        <w:szCs w:val="18"/>
      </w:rPr>
      <w:t xml:space="preserve">BOLAJI B. ADEEKO LLC</w:t>
    </w:r>
    <w:r>
      <w:rPr>
        <w:color w:val="475463"/>
        <w:sz w:val="18"/>
        <w:szCs w:val="18"/>
      </w:rPr>
      <w:t xml:space="preserve">	CAPABILITY STATEMENT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47546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Calibri" w:cs="Calibri" w:eastAsia="Calibri" w:hAnsi="Calibri"/>
      <w:b/>
      <w:bCs/>
      <w:color w:val="0B2545"/>
      <w:sz w:val="34"/>
      <w:szCs w:val="34"/>
    </w:rPr>
  </w:style>
  <w:style w:type="paragraph" w:styleId="Heading2">
    <w:name w:val="Heading 2"/>
    <w:basedOn w:val="Normal"/>
    <w:next w:val="Normal"/>
    <w:qFormat/>
    <w:pPr>
      <w:spacing w:after="140" w:before="260"/>
      <w:outlineLvl w:val="1"/>
    </w:pPr>
    <w:rPr>
      <w:rFonts w:ascii="Calibri" w:cs="Calibri" w:eastAsia="Calibri" w:hAnsi="Calibri"/>
      <w:b/>
      <w:bCs/>
      <w:color w:val="1768A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2026-06-23T17:21:54.948Z</dcterms:created>
  <dcterms:modified xsi:type="dcterms:W3CDTF">2026-06-23T17:21:54.948Z</dcterms:modified>
</cp:coreProperties>
</file>

<file path=docProps/custom.xml><?xml version="1.0" encoding="utf-8"?>
<Properties xmlns="http://schemas.openxmlformats.org/officeDocument/2006/custom-properties" xmlns:vt="http://schemas.openxmlformats.org/officeDocument/2006/docPropsVTypes"/>
</file>