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768AC"/>
          <w:sz w:val="16"/>
          <w:szCs w:val="16"/>
        </w:rPr>
        <w:t xml:space="preserve">HEALTHCARE ACCESS GOVERNANCE &amp; IAM TRANSFORMATION</w:t>
      </w:r>
    </w:p>
    <w:p>
      <w:pPr>
        <w:spacing w:after="160"/>
      </w:pPr>
      <w:r>
        <w:rPr>
          <w:b/>
          <w:bCs/>
          <w:color w:val="0B2545"/>
          <w:sz w:val="32"/>
          <w:szCs w:val="32"/>
        </w:rPr>
        <w:t xml:space="preserve">Access Is Not an IT Problem. It's a Business Problem.</w:t>
      </w:r>
    </w:p>
    <w:p>
      <w:pPr>
        <w:spacing w:after="120"/>
      </w:pPr>
      <w:r>
        <w:rPr>
          <w:color w:val="475463"/>
          <w:sz w:val="20"/>
          <w:szCs w:val="20"/>
        </w:rPr>
        <w:t xml:space="preserve">Delayed onboarding, excess permissions, audit findings, and fragmented provisioning workflows quietly erode provider productivity, inflate compliance risk, and consume hundreds of staff hours every audit cycle. Bolaji B. Adeeko LLC partners with healthcare organizations to close that gap.</w:t>
      </w:r>
    </w:p>
    <w:p>
      <w:pPr>
        <w:pStyle w:val="Heading2"/>
      </w:pPr>
      <w:r>
        <w:t xml:space="preserve">Track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F5F7FA" w:val="clear"/>
            <w:tcMar>
              <w:top w:type="dxa" w:w="120"/>
              <w:left w:type="dxa" w:w="80"/>
              <w:bottom w:type="dxa" w:w="120"/>
              <w:right w:type="dxa" w:w="80"/>
            </w:tcMar>
          </w:tcPr>
          <w:p>
            <w:pPr>
              <w:jc w:val="center"/>
            </w:pPr>
            <w:r>
              <w:rPr>
                <w:b/>
                <w:bCs/>
                <w:color w:val="0B2545"/>
                <w:sz w:val="28"/>
                <w:szCs w:val="28"/>
              </w:rPr>
              <w:t xml:space="preserve">40+</w:t>
            </w:r>
          </w:p>
          <w:p>
            <w:pPr>
              <w:jc w:val="center"/>
            </w:pPr>
            <w:r>
              <w:rPr>
                <w:color w:val="475463"/>
                <w:sz w:val="14"/>
                <w:szCs w:val="14"/>
              </w:rPr>
              <w:t xml:space="preserve">Outpatient Facilities</w:t>
            </w:r>
          </w:p>
        </w:tc>
        <w:tc>
          <w:tcPr>
            <w:tcW w:type="dxa" w:w="2340"/>
            <w:tcBorders>
              <w:top w:val="single" w:color="CCCCCC" w:sz="1"/>
              <w:left w:val="single" w:color="CCCCCC" w:sz="1"/>
              <w:bottom w:val="single" w:color="CCCCCC" w:sz="1"/>
              <w:right w:val="single" w:color="CCCCCC" w:sz="1"/>
            </w:tcBorders>
            <w:shd w:fill="F5F7FA" w:val="clear"/>
            <w:tcMar>
              <w:top w:type="dxa" w:w="120"/>
              <w:left w:type="dxa" w:w="80"/>
              <w:bottom w:type="dxa" w:w="120"/>
              <w:right w:type="dxa" w:w="80"/>
            </w:tcMar>
          </w:tcPr>
          <w:p>
            <w:pPr>
              <w:jc w:val="center"/>
            </w:pPr>
            <w:r>
              <w:rPr>
                <w:b/>
                <w:bCs/>
                <w:color w:val="0B2545"/>
                <w:sz w:val="28"/>
                <w:szCs w:val="28"/>
              </w:rPr>
              <w:t xml:space="preserve">5,000+</w:t>
            </w:r>
          </w:p>
          <w:p>
            <w:pPr>
              <w:jc w:val="center"/>
            </w:pPr>
            <w:r>
              <w:rPr>
                <w:color w:val="475463"/>
                <w:sz w:val="14"/>
                <w:szCs w:val="14"/>
              </w:rPr>
              <w:t xml:space="preserve">Users Supported</w:t>
            </w:r>
          </w:p>
        </w:tc>
        <w:tc>
          <w:tcPr>
            <w:tcW w:type="dxa" w:w="2340"/>
            <w:tcBorders>
              <w:top w:val="single" w:color="CCCCCC" w:sz="1"/>
              <w:left w:val="single" w:color="CCCCCC" w:sz="1"/>
              <w:bottom w:val="single" w:color="CCCCCC" w:sz="1"/>
              <w:right w:val="single" w:color="CCCCCC" w:sz="1"/>
            </w:tcBorders>
            <w:shd w:fill="F5F7FA" w:val="clear"/>
            <w:tcMar>
              <w:top w:type="dxa" w:w="120"/>
              <w:left w:type="dxa" w:w="80"/>
              <w:bottom w:type="dxa" w:w="120"/>
              <w:right w:type="dxa" w:w="80"/>
            </w:tcMar>
          </w:tcPr>
          <w:p>
            <w:pPr>
              <w:jc w:val="center"/>
            </w:pPr>
            <w:r>
              <w:rPr>
                <w:b/>
                <w:bCs/>
                <w:color w:val="0B2545"/>
                <w:sz w:val="28"/>
                <w:szCs w:val="28"/>
              </w:rPr>
              <w:t xml:space="preserve">20+</w:t>
            </w:r>
          </w:p>
          <w:p>
            <w:pPr>
              <w:jc w:val="center"/>
            </w:pPr>
            <w:r>
              <w:rPr>
                <w:color w:val="475463"/>
                <w:sz w:val="14"/>
                <w:szCs w:val="14"/>
              </w:rPr>
              <w:t xml:space="preserve">Optimization Projects</w:t>
            </w:r>
          </w:p>
        </w:tc>
        <w:tc>
          <w:tcPr>
            <w:tcW w:type="dxa" w:w="2340"/>
            <w:tcBorders>
              <w:top w:val="single" w:color="CCCCCC" w:sz="1"/>
              <w:left w:val="single" w:color="CCCCCC" w:sz="1"/>
              <w:bottom w:val="single" w:color="CCCCCC" w:sz="1"/>
              <w:right w:val="single" w:color="CCCCCC" w:sz="1"/>
            </w:tcBorders>
            <w:shd w:fill="F5F7FA" w:val="clear"/>
            <w:tcMar>
              <w:top w:type="dxa" w:w="120"/>
              <w:left w:type="dxa" w:w="80"/>
              <w:bottom w:type="dxa" w:w="120"/>
              <w:right w:type="dxa" w:w="80"/>
            </w:tcMar>
          </w:tcPr>
          <w:p>
            <w:pPr>
              <w:jc w:val="center"/>
            </w:pPr>
            <w:r>
              <w:rPr>
                <w:b/>
                <w:bCs/>
                <w:color w:val="0B2545"/>
                <w:sz w:val="28"/>
                <w:szCs w:val="28"/>
              </w:rPr>
              <w:t xml:space="preserve">3 Yrs</w:t>
            </w:r>
          </w:p>
          <w:p>
            <w:pPr>
              <w:jc w:val="center"/>
            </w:pPr>
            <w:r>
              <w:rPr>
                <w:color w:val="475463"/>
                <w:sz w:val="14"/>
                <w:szCs w:val="14"/>
              </w:rPr>
              <w:t xml:space="preserve">Program Ownership</w:t>
            </w:r>
          </w:p>
        </w:tc>
      </w:tr>
    </w:tbl>
    <w:p/>
    <w:p>
      <w:pPr>
        <w:pStyle w:val="Heading2"/>
      </w:pPr>
      <w:r>
        <w:t xml:space="preserve">What This Looks Like in Practice</w:t>
      </w:r>
    </w:p>
    <w:p>
      <w:pPr>
        <w:pStyle w:val="ListParagraph"/>
        <w:numPr>
          <w:ilvl w:val="0"/>
          <w:numId w:val="2"/>
        </w:numPr>
        <w:spacing w:after="60"/>
      </w:pPr>
      <w:r>
        <w:rPr>
          <w:color w:val="475463"/>
          <w:sz w:val="20"/>
          <w:szCs w:val="20"/>
        </w:rPr>
        <w:t xml:space="preserve">Built an enterprise RBAC framework from scratch across 40+ unique outpatient practices</w:t>
      </w:r>
    </w:p>
    <w:p>
      <w:pPr>
        <w:pStyle w:val="ListParagraph"/>
        <w:numPr>
          <w:ilvl w:val="0"/>
          <w:numId w:val="2"/>
        </w:numPr>
        <w:spacing w:after="60"/>
      </w:pPr>
      <w:r>
        <w:rPr>
          <w:color w:val="475463"/>
          <w:sz w:val="20"/>
          <w:szCs w:val="20"/>
        </w:rPr>
        <w:t xml:space="preserve">Led 20+ access optimization projects to successful completion</w:t>
      </w:r>
    </w:p>
    <w:p>
      <w:pPr>
        <w:pStyle w:val="ListParagraph"/>
        <w:numPr>
          <w:ilvl w:val="0"/>
          <w:numId w:val="2"/>
        </w:numPr>
        <w:spacing w:after="60"/>
      </w:pPr>
      <w:r>
        <w:rPr>
          <w:color w:val="475463"/>
          <w:sz w:val="20"/>
          <w:szCs w:val="20"/>
        </w:rPr>
        <w:t xml:space="preserve">Converted a fragmented support team into a documented, cross-trained operation running on SOPs and playbooks</w:t>
      </w:r>
    </w:p>
    <w:p>
      <w:pPr>
        <w:pStyle w:val="Heading2"/>
      </w:pPr>
      <w:r>
        <w:t xml:space="preserve">Engagement Options</w:t>
      </w:r>
    </w:p>
    <w:p>
      <w:pPr>
        <w:pStyle w:val="ListParagraph"/>
        <w:numPr>
          <w:ilvl w:val="0"/>
          <w:numId w:val="2"/>
        </w:numPr>
        <w:spacing w:after="60"/>
      </w:pPr>
      <w:r>
        <w:rPr>
          <w:color w:val="475463"/>
          <w:sz w:val="20"/>
          <w:szCs w:val="20"/>
        </w:rPr>
        <w:t xml:space="preserve">Discovery Workshop — complimentary, 90 minutes</w:t>
      </w:r>
    </w:p>
    <w:p>
      <w:pPr>
        <w:pStyle w:val="ListParagraph"/>
        <w:numPr>
          <w:ilvl w:val="0"/>
          <w:numId w:val="2"/>
        </w:numPr>
        <w:spacing w:after="60"/>
      </w:pPr>
      <w:r>
        <w:rPr>
          <w:color w:val="475463"/>
          <w:sz w:val="20"/>
          <w:szCs w:val="20"/>
        </w:rPr>
        <w:t xml:space="preserve">Executive Assessment — $25,000+, 4 weeks</w:t>
      </w:r>
    </w:p>
    <w:p>
      <w:pPr>
        <w:pStyle w:val="ListParagraph"/>
        <w:numPr>
          <w:ilvl w:val="0"/>
          <w:numId w:val="2"/>
        </w:numPr>
        <w:spacing w:after="60"/>
      </w:pPr>
      <w:r>
        <w:rPr>
          <w:color w:val="475463"/>
          <w:sz w:val="20"/>
          <w:szCs w:val="20"/>
        </w:rPr>
        <w:t xml:space="preserve">Governance Transformation — $100,000+, 12–16 weeks</w:t>
      </w:r>
    </w:p>
    <w:p>
      <w:pPr>
        <w:pStyle w:val="Heading2"/>
      </w:pPr>
      <w:r>
        <w:t xml:space="preserve">Next Step</w:t>
      </w:r>
    </w:p>
    <w:p>
      <w:pPr>
        <w:spacing w:after="120"/>
      </w:pPr>
      <w:r>
        <w:rPr>
          <w:color w:val="475463"/>
          <w:sz w:val="20"/>
          <w:szCs w:val="20"/>
        </w:rPr>
        <w:t xml:space="preserve">A focused 90-minute discovery workshop to understand current pain points, quantify operational impact, and identify executive priorities — followed by a written findings report and proposal.</w:t>
      </w:r>
    </w:p>
    <w:p>
      <w:pPr>
        <w:pBdr>
          <w:top w:val="single" w:color="1768AC" w:sz="6" w:space="6"/>
        </w:pBdr>
        <w:spacing w:before="200"/>
      </w:pPr>
      <w:r>
        <w:rPr>
          <w:color w:val="475463"/>
          <w:sz w:val="16"/>
          <w:szCs w:val="16"/>
        </w:rPr>
        <w:t xml:space="preserve">Bolaji B. Adeeko LLC  |  botaxes7@gmail.com  |  Atlanta, Georgia</w:t>
      </w:r>
    </w:p>
    <w:sectPr>
      <w:headerReference w:type="default" r:id="rId7"/>
      <w:footerReference w:type="default" r:id="rId8"/>
      <w:pgSz w:w="12240" w:h="15840" w:orient="portrait"/>
      <w:pgMar w:top="800" w:right="1080" w:bottom="8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75463"/>
        <w:sz w:val="14"/>
        <w:szCs w:val="14"/>
      </w:rPr>
      <w:t xml:space="preserve">Confidential — Prepared for Discussion Purposes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68AC" w:sz="6" w:space="4"/>
      </w:pBdr>
      <w:tabs>
        <w:tab w:val="right" w:pos="9026"/>
      </w:tabs>
    </w:pPr>
    <w:r>
      <w:rPr>
        <w:b/>
        <w:bCs/>
        <w:color w:val="0B2545"/>
        <w:sz w:val="16"/>
        <w:szCs w:val="16"/>
      </w:rPr>
      <w:t xml:space="preserve">BOLAJI B. ADEEKO LLC</w:t>
    </w:r>
    <w:r>
      <w:rPr>
        <w:color w:val="475463"/>
        <w:sz w:val="16"/>
        <w:szCs w:val="16"/>
      </w:rPr>
      <w:t xml:space="preserve">	EXECUTIVE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7546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00" w:before="180"/>
      <w:outlineLvl w:val="1"/>
    </w:pPr>
    <w:rPr>
      <w:rFonts w:ascii="Calibri" w:cs="Calibri" w:eastAsia="Calibri" w:hAnsi="Calibri"/>
      <w:b/>
      <w:bCs/>
      <w:color w:val="1768A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2026-06-23T17:22:58.954Z</dcterms:created>
  <dcterms:modified xsi:type="dcterms:W3CDTF">2026-06-23T17:22:58.954Z</dcterms:modified>
</cp:coreProperties>
</file>

<file path=docProps/custom.xml><?xml version="1.0" encoding="utf-8"?>
<Properties xmlns="http://schemas.openxmlformats.org/officeDocument/2006/custom-properties" xmlns:vt="http://schemas.openxmlformats.org/officeDocument/2006/docPropsVTypes"/>
</file>