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768AC"/>
          <w:sz w:val="18"/>
          <w:szCs w:val="18"/>
        </w:rPr>
        <w:t xml:space="preserve">EPIC ACCESS GOVERNANCE &amp; IAM OPTIMIZATION</w:t>
      </w:r>
    </w:p>
    <w:p>
      <w:pPr>
        <w:spacing w:after="300"/>
      </w:pPr>
      <w:r>
        <w:rPr>
          <w:b/>
          <w:bCs/>
          <w:color w:val="0B2545"/>
          <w:sz w:val="40"/>
          <w:szCs w:val="40"/>
        </w:rPr>
        <w:t xml:space="preserve">Statement of Work</w:t>
      </w:r>
    </w:p>
    <w:p>
      <w:pPr>
        <w:pStyle w:val="Heading2"/>
      </w:pPr>
      <w:r>
        <w:t xml:space="preserve">1. Engagement Overview</w:t>
      </w:r>
    </w:p>
    <w:p>
      <w:pPr>
        <w:spacing w:after="160"/>
      </w:pPr>
      <w:r>
        <w:rPr>
          <w:color w:val="475463"/>
        </w:rPr>
        <w:t xml:space="preserve">This Statement of Work ('SOW') describes the scope, deliverables, timeline, and pricing for an access governance and identity management optimization engagement between Bolaji B. Adeeko LLC ('Consultant') and the client healthcare organization ('Client').</w:t>
      </w:r>
    </w:p>
    <w:p>
      <w:pPr>
        <w:pStyle w:val="Heading2"/>
      </w:pPr>
      <w:r>
        <w:t xml:space="preserve">2. Objectives</w:t>
      </w:r>
    </w:p>
    <w:p>
      <w:pPr>
        <w:pStyle w:val="ListParagraph"/>
        <w:numPr>
          <w:ilvl w:val="0"/>
          <w:numId w:val="2"/>
        </w:numPr>
        <w:spacing w:after="80"/>
      </w:pPr>
      <w:r>
        <w:rPr>
          <w:color w:val="475463"/>
        </w:rPr>
        <w:t xml:space="preserve">Reduce employee and provider onboarding delays</w:t>
      </w:r>
    </w:p>
    <w:p>
      <w:pPr>
        <w:pStyle w:val="ListParagraph"/>
        <w:numPr>
          <w:ilvl w:val="0"/>
          <w:numId w:val="2"/>
        </w:numPr>
        <w:spacing w:after="80"/>
      </w:pPr>
      <w:r>
        <w:rPr>
          <w:color w:val="475463"/>
        </w:rPr>
        <w:t xml:space="preserve">Improve Epic access governance and reduce excessive permissions</w:t>
      </w:r>
    </w:p>
    <w:p>
      <w:pPr>
        <w:pStyle w:val="ListParagraph"/>
        <w:numPr>
          <w:ilvl w:val="0"/>
          <w:numId w:val="2"/>
        </w:numPr>
        <w:spacing w:after="80"/>
      </w:pPr>
      <w:r>
        <w:rPr>
          <w:color w:val="475463"/>
        </w:rPr>
        <w:t xml:space="preserve">Strengthen HIPAA and audit readiness</w:t>
      </w:r>
    </w:p>
    <w:p>
      <w:pPr>
        <w:pStyle w:val="ListParagraph"/>
        <w:numPr>
          <w:ilvl w:val="0"/>
          <w:numId w:val="2"/>
        </w:numPr>
        <w:spacing w:after="80"/>
      </w:pPr>
      <w:r>
        <w:rPr>
          <w:color w:val="475463"/>
        </w:rPr>
        <w:t xml:space="preserve">Improve role-based access controls and provisioning accuracy</w:t>
      </w:r>
    </w:p>
    <w:p>
      <w:pPr>
        <w:pStyle w:val="ListParagraph"/>
        <w:numPr>
          <w:ilvl w:val="0"/>
          <w:numId w:val="2"/>
        </w:numPr>
        <w:spacing w:after="80"/>
      </w:pPr>
      <w:r>
        <w:rPr>
          <w:color w:val="475463"/>
        </w:rPr>
        <w:t xml:space="preserve">Increase leadership visibility through executive reporting</w:t>
      </w:r>
    </w:p>
    <w:p>
      <w:pPr>
        <w:pStyle w:val="Heading2"/>
      </w:pPr>
      <w:r>
        <w:t xml:space="preserve">3. Engagement Options</w:t>
      </w:r>
    </w:p>
    <w:p>
      <w:pPr>
        <w:spacing w:after="60" w:before="200"/>
      </w:pPr>
      <w:r>
        <w:rPr>
          <w:b/>
          <w:bCs/>
          <w:color w:val="0B2545"/>
          <w:sz w:val="24"/>
          <w:szCs w:val="24"/>
        </w:rPr>
        <w:t xml:space="preserve">Option 1 — Executive Assessment</w:t>
      </w:r>
    </w:p>
    <w:p>
      <w:pPr>
        <w:spacing w:after="120"/>
      </w:pPr>
      <w:r>
        <w:rPr>
          <w:b/>
          <w:bCs/>
          <w:color w:val="1768AC"/>
          <w:sz w:val="24"/>
          <w:szCs w:val="24"/>
        </w:rPr>
        <w:t xml:space="preserve">$25,000 – $35,000</w:t>
      </w:r>
      <w:r>
        <w:rPr>
          <w:color w:val="475463"/>
          <w:sz w:val="20"/>
          <w:szCs w:val="20"/>
        </w:rPr>
        <w:t xml:space="preserve">   |   4 weeks</w:t>
      </w:r>
    </w:p>
    <w:p>
      <w:pPr>
        <w:pStyle w:val="ListParagraph"/>
        <w:numPr>
          <w:ilvl w:val="0"/>
          <w:numId w:val="2"/>
        </w:numPr>
        <w:spacing w:after="80"/>
      </w:pPr>
      <w:r>
        <w:rPr>
          <w:color w:val="475463"/>
        </w:rPr>
        <w:t xml:space="preserve">Epic security class, template, and role review</w:t>
      </w:r>
    </w:p>
    <w:p>
      <w:pPr>
        <w:pStyle w:val="ListParagraph"/>
        <w:numPr>
          <w:ilvl w:val="0"/>
          <w:numId w:val="2"/>
        </w:numPr>
        <w:spacing w:after="80"/>
      </w:pPr>
      <w:r>
        <w:rPr>
          <w:color w:val="475463"/>
        </w:rPr>
        <w:t xml:space="preserve">Department-level access governance audit</w:t>
      </w:r>
    </w:p>
    <w:p>
      <w:pPr>
        <w:pStyle w:val="ListParagraph"/>
        <w:numPr>
          <w:ilvl w:val="0"/>
          <w:numId w:val="2"/>
        </w:numPr>
        <w:spacing w:after="80"/>
      </w:pPr>
      <w:r>
        <w:rPr>
          <w:color w:val="475463"/>
        </w:rPr>
        <w:t xml:space="preserve">Segregation-of-duties and orphan account analysis</w:t>
      </w:r>
    </w:p>
    <w:p>
      <w:pPr>
        <w:pStyle w:val="ListParagraph"/>
        <w:numPr>
          <w:ilvl w:val="0"/>
          <w:numId w:val="2"/>
        </w:numPr>
        <w:spacing w:after="80"/>
      </w:pPr>
      <w:r>
        <w:rPr>
          <w:color w:val="475463"/>
        </w:rPr>
        <w:t xml:space="preserve">Executive findings report with risk matrix</w:t>
      </w:r>
    </w:p>
    <w:p/>
    <w:p>
      <w:pPr>
        <w:spacing w:after="60" w:before="200"/>
      </w:pPr>
      <w:r>
        <w:rPr>
          <w:b/>
          <w:bCs/>
          <w:color w:val="0B2545"/>
          <w:sz w:val="24"/>
          <w:szCs w:val="24"/>
        </w:rPr>
        <w:t xml:space="preserve">Option 2 — Access &amp; Onboarding Optimization</w:t>
      </w:r>
    </w:p>
    <w:p>
      <w:pPr>
        <w:spacing w:after="120"/>
      </w:pPr>
      <w:r>
        <w:rPr>
          <w:b/>
          <w:bCs/>
          <w:color w:val="1768AC"/>
          <w:sz w:val="24"/>
          <w:szCs w:val="24"/>
        </w:rPr>
        <w:t xml:space="preserve">$50,000 – $75,000</w:t>
      </w:r>
      <w:r>
        <w:rPr>
          <w:color w:val="475463"/>
          <w:sz w:val="20"/>
          <w:szCs w:val="20"/>
        </w:rPr>
        <w:t xml:space="preserve">   |   8 weeks</w:t>
      </w:r>
    </w:p>
    <w:p>
      <w:pPr>
        <w:pStyle w:val="ListParagraph"/>
        <w:numPr>
          <w:ilvl w:val="0"/>
          <w:numId w:val="2"/>
        </w:numPr>
        <w:spacing w:after="80"/>
      </w:pPr>
      <w:r>
        <w:rPr>
          <w:color w:val="475463"/>
        </w:rPr>
        <w:t xml:space="preserve">Everything in Option 1</w:t>
      </w:r>
    </w:p>
    <w:p>
      <w:pPr>
        <w:pStyle w:val="ListParagraph"/>
        <w:numPr>
          <w:ilvl w:val="0"/>
          <w:numId w:val="2"/>
        </w:numPr>
        <w:spacing w:after="80"/>
      </w:pPr>
      <w:r>
        <w:rPr>
          <w:color w:val="475463"/>
        </w:rPr>
        <w:t xml:space="preserve">Provisioning workflow and HR feed review</w:t>
      </w:r>
    </w:p>
    <w:p>
      <w:pPr>
        <w:pStyle w:val="ListParagraph"/>
        <w:numPr>
          <w:ilvl w:val="0"/>
          <w:numId w:val="2"/>
        </w:numPr>
        <w:spacing w:after="80"/>
      </w:pPr>
      <w:r>
        <w:rPr>
          <w:color w:val="475463"/>
        </w:rPr>
        <w:t xml:space="preserve">Role redesign and template optimization</w:t>
      </w:r>
    </w:p>
    <w:p>
      <w:pPr>
        <w:pStyle w:val="ListParagraph"/>
        <w:numPr>
          <w:ilvl w:val="0"/>
          <w:numId w:val="2"/>
        </w:numPr>
        <w:spacing w:after="80"/>
      </w:pPr>
      <w:r>
        <w:rPr>
          <w:color w:val="475463"/>
        </w:rPr>
        <w:t xml:space="preserve">SQL-based reporting dashboards</w:t>
      </w:r>
    </w:p>
    <w:p/>
    <w:p>
      <w:pPr>
        <w:spacing w:after="60" w:before="200"/>
      </w:pPr>
      <w:r>
        <w:rPr>
          <w:b/>
          <w:bCs/>
          <w:color w:val="0B2545"/>
          <w:sz w:val="24"/>
          <w:szCs w:val="24"/>
        </w:rPr>
        <w:t xml:space="preserve">Option 3 — Governance Transformation</w:t>
      </w:r>
    </w:p>
    <w:p>
      <w:pPr>
        <w:spacing w:after="120"/>
      </w:pPr>
      <w:r>
        <w:rPr>
          <w:b/>
          <w:bCs/>
          <w:color w:val="1768AC"/>
          <w:sz w:val="24"/>
          <w:szCs w:val="24"/>
        </w:rPr>
        <w:t xml:space="preserve">$100,000+</w:t>
      </w:r>
      <w:r>
        <w:rPr>
          <w:color w:val="475463"/>
          <w:sz w:val="20"/>
          <w:szCs w:val="20"/>
        </w:rPr>
        <w:t xml:space="preserve">   |   12–16 weeks</w:t>
      </w:r>
    </w:p>
    <w:p>
      <w:pPr>
        <w:pStyle w:val="ListParagraph"/>
        <w:numPr>
          <w:ilvl w:val="0"/>
          <w:numId w:val="2"/>
        </w:numPr>
        <w:spacing w:after="80"/>
      </w:pPr>
      <w:r>
        <w:rPr>
          <w:color w:val="475463"/>
        </w:rPr>
        <w:t xml:space="preserve">Everything in Option 2</w:t>
      </w:r>
    </w:p>
    <w:p>
      <w:pPr>
        <w:pStyle w:val="ListParagraph"/>
        <w:numPr>
          <w:ilvl w:val="0"/>
          <w:numId w:val="2"/>
        </w:numPr>
        <w:spacing w:after="80"/>
      </w:pPr>
      <w:r>
        <w:rPr>
          <w:color w:val="475463"/>
        </w:rPr>
        <w:t xml:space="preserve">RBAC and provisioning architecture redesign</w:t>
      </w:r>
    </w:p>
    <w:p>
      <w:pPr>
        <w:pStyle w:val="ListParagraph"/>
        <w:numPr>
          <w:ilvl w:val="0"/>
          <w:numId w:val="2"/>
        </w:numPr>
        <w:spacing w:after="80"/>
      </w:pPr>
      <w:r>
        <w:rPr>
          <w:color w:val="475463"/>
        </w:rPr>
        <w:t xml:space="preserve">Azure AD / Entra IAM integration review</w:t>
      </w:r>
    </w:p>
    <w:p>
      <w:pPr>
        <w:pStyle w:val="ListParagraph"/>
        <w:numPr>
          <w:ilvl w:val="0"/>
          <w:numId w:val="2"/>
        </w:numPr>
        <w:spacing w:after="80"/>
      </w:pPr>
      <w:r>
        <w:rPr>
          <w:color w:val="475463"/>
        </w:rPr>
        <w:t xml:space="preserve">Executive KPI dashboard and governance roadmap</w:t>
      </w:r>
    </w:p>
    <w:p/>
    <w:p>
      <w:pPr>
        <w:pStyle w:val="Heading2"/>
      </w:pPr>
      <w:r>
        <w:t xml:space="preserve">4. Phased Approach</w:t>
      </w:r>
    </w:p>
    <w:p>
      <w:pPr>
        <w:spacing w:after="160"/>
      </w:pPr>
      <w:r>
        <w:rPr>
          <w:color w:val="475463"/>
        </w:rPr>
        <w:t xml:space="preserve">Phase 1 — Discovery &amp; Assessment: review Epic security classes, templates, roles, identity governance processes, Azure provisioning workflows, and existing reporting. Deliverable: Executive Findings Report.</w:t>
      </w:r>
    </w:p>
    <w:p>
      <w:pPr>
        <w:spacing w:after="160"/>
      </w:pPr>
      <w:r>
        <w:rPr>
          <w:color w:val="475463"/>
        </w:rPr>
        <w:t xml:space="preserve">Phase 2 — Optimization: implement recommendations for role design, access governance, provisioning workflow improvements, and reporting enhancements.</w:t>
      </w:r>
    </w:p>
    <w:p>
      <w:pPr>
        <w:spacing w:after="160"/>
      </w:pPr>
      <w:r>
        <w:rPr>
          <w:color w:val="475463"/>
        </w:rPr>
        <w:t xml:space="preserve">Phase 3 — Governance &amp; Sustainability: establish access review processes, an audit reporting framework, an executive KPI dashboard, and a forward-looking governance roadmap.</w:t>
      </w:r>
    </w:p>
    <w:p>
      <w:pPr>
        <w:pStyle w:val="Heading2"/>
      </w:pPr>
      <w:r>
        <w:t xml:space="preserve">5. Success Metrics</w:t>
      </w:r>
    </w:p>
    <w:p>
      <w:pPr>
        <w:pStyle w:val="ListParagraph"/>
        <w:numPr>
          <w:ilvl w:val="0"/>
          <w:numId w:val="2"/>
        </w:numPr>
        <w:spacing w:after="80"/>
      </w:pPr>
      <w:r>
        <w:rPr>
          <w:color w:val="475463"/>
        </w:rPr>
        <w:t xml:space="preserve">Reduced onboarding time (target: from current baseline to under 3–5 business days)</w:t>
      </w:r>
    </w:p>
    <w:p>
      <w:pPr>
        <w:pStyle w:val="ListParagraph"/>
        <w:numPr>
          <w:ilvl w:val="0"/>
          <w:numId w:val="2"/>
        </w:numPr>
        <w:spacing w:after="80"/>
      </w:pPr>
      <w:r>
        <w:rPr>
          <w:color w:val="475463"/>
        </w:rPr>
        <w:t xml:space="preserve">Reduced access provisioning errors and excess-access findings</w:t>
      </w:r>
    </w:p>
    <w:p>
      <w:pPr>
        <w:pStyle w:val="ListParagraph"/>
        <w:numPr>
          <w:ilvl w:val="0"/>
          <w:numId w:val="2"/>
        </w:numPr>
        <w:spacing w:after="80"/>
      </w:pPr>
      <w:r>
        <w:rPr>
          <w:color w:val="475463"/>
        </w:rPr>
        <w:t xml:space="preserve">Increased audit readiness and reduced audit preparation hours</w:t>
      </w:r>
    </w:p>
    <w:p>
      <w:pPr>
        <w:pStyle w:val="ListParagraph"/>
        <w:numPr>
          <w:ilvl w:val="0"/>
          <w:numId w:val="2"/>
        </w:numPr>
        <w:spacing w:after="80"/>
      </w:pPr>
      <w:r>
        <w:rPr>
          <w:color w:val="475463"/>
        </w:rPr>
        <w:t xml:space="preserve">Increased leadership visibility through standardized reporting</w:t>
      </w:r>
    </w:p>
    <w:p>
      <w:pPr>
        <w:pStyle w:val="Heading2"/>
      </w:pPr>
      <w:r>
        <w:t xml:space="preserve">6. Fees &amp; Payment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3120"/>
            <w:tcBorders>
              <w:top w:val="single" w:color="CCCCCC" w:sz="1"/>
              <w:left w:val="single" w:color="CCCCCC" w:sz="1"/>
              <w:bottom w:val="single" w:color="CCCCCC" w:sz="1"/>
              <w:right w:val="single" w:color="CCCCCC" w:sz="1"/>
            </w:tcBorders>
            <w:shd w:fill="0B2545" w:val="clear"/>
            <w:tcMar>
              <w:top w:type="dxa" w:w="100"/>
              <w:left w:type="dxa" w:w="120"/>
              <w:bottom w:type="dxa" w:w="100"/>
              <w:right w:type="dxa" w:w="120"/>
            </w:tcMar>
          </w:tcPr>
          <w:p>
            <w:r>
              <w:rPr>
                <w:b/>
                <w:bCs/>
                <w:color w:val="FFFFFF"/>
                <w:sz w:val="20"/>
                <w:szCs w:val="20"/>
              </w:rPr>
              <w:t xml:space="preserve">Milestone</w:t>
            </w:r>
          </w:p>
        </w:tc>
        <w:tc>
          <w:tcPr>
            <w:tcW w:type="dxa" w:w="3120"/>
            <w:tcBorders>
              <w:top w:val="single" w:color="CCCCCC" w:sz="1"/>
              <w:left w:val="single" w:color="CCCCCC" w:sz="1"/>
              <w:bottom w:val="single" w:color="CCCCCC" w:sz="1"/>
              <w:right w:val="single" w:color="CCCCCC" w:sz="1"/>
            </w:tcBorders>
            <w:shd w:fill="0B2545" w:val="clear"/>
            <w:tcMar>
              <w:top w:type="dxa" w:w="100"/>
              <w:left w:type="dxa" w:w="120"/>
              <w:bottom w:type="dxa" w:w="100"/>
              <w:right w:type="dxa" w:w="120"/>
            </w:tcMar>
          </w:tcPr>
          <w:p>
            <w:r>
              <w:rPr>
                <w:b/>
                <w:bCs/>
                <w:color w:val="FFFFFF"/>
                <w:sz w:val="20"/>
                <w:szCs w:val="20"/>
              </w:rPr>
              <w:t xml:space="preserve">Payment</w:t>
            </w:r>
          </w:p>
        </w:tc>
      </w:tr>
      <w:tr>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Upon signature</w:t>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40% of total fee</w:t>
            </w:r>
          </w:p>
        </w:tc>
      </w:tr>
      <w:tr>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Upon delivery of Phase 1 Findings Report</w:t>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30% of total fee</w:t>
            </w:r>
          </w:p>
        </w:tc>
      </w:tr>
      <w:tr>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Upon final deliverable acceptance</w:t>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color w:val="475463"/>
                <w:sz w:val="20"/>
                <w:szCs w:val="20"/>
              </w:rPr>
              <w:t xml:space="preserve">30% of total fee</w:t>
            </w:r>
          </w:p>
        </w:tc>
      </w:tr>
    </w:tbl>
    <w:p/>
    <w:p>
      <w:pPr>
        <w:spacing w:after="160"/>
      </w:pPr>
      <w:r>
        <w:rPr>
          <w:color w:val="475463"/>
        </w:rPr>
        <w:t xml:space="preserve">Independent hourly work outside a fixed-fee package is billed at $150–$175/hr, with a premium rate of $200–$250/hr available for engagements requiring accelerated timelines or specialized scope.</w:t>
      </w:r>
    </w:p>
    <w:p>
      <w:pPr>
        <w:pStyle w:val="Heading2"/>
      </w:pPr>
      <w:r>
        <w:t xml:space="preserve">7. Assumptions</w:t>
      </w:r>
    </w:p>
    <w:p>
      <w:pPr>
        <w:pStyle w:val="ListParagraph"/>
        <w:numPr>
          <w:ilvl w:val="0"/>
          <w:numId w:val="2"/>
        </w:numPr>
        <w:spacing w:after="80"/>
      </w:pPr>
      <w:r>
        <w:rPr>
          <w:color w:val="475463"/>
        </w:rPr>
        <w:t xml:space="preserve">Client will provide timely access to relevant systems, stakeholders, and documentation.</w:t>
      </w:r>
    </w:p>
    <w:p>
      <w:pPr>
        <w:pStyle w:val="ListParagraph"/>
        <w:numPr>
          <w:ilvl w:val="0"/>
          <w:numId w:val="2"/>
        </w:numPr>
        <w:spacing w:after="80"/>
      </w:pPr>
      <w:r>
        <w:rPr>
          <w:color w:val="475463"/>
        </w:rPr>
        <w:t xml:space="preserve">Scope changes outside the items listed above will be addressed through a written change order.</w:t>
      </w:r>
    </w:p>
    <w:p>
      <w:pPr>
        <w:pStyle w:val="ListParagraph"/>
        <w:numPr>
          <w:ilvl w:val="0"/>
          <w:numId w:val="2"/>
        </w:numPr>
        <w:spacing w:after="80"/>
      </w:pPr>
      <w:r>
        <w:rPr>
          <w:color w:val="475463"/>
        </w:rPr>
        <w:t xml:space="preserve">All work is performed in alignment with Client's existing HIPAA and security policies.</w:t>
      </w:r>
    </w:p>
    <w:p>
      <w:pPr>
        <w:pStyle w:val="Heading2"/>
      </w:pPr>
      <w:r>
        <w:t xml:space="preserve">8. Acceptance</w:t>
      </w:r>
    </w:p>
    <w:p>
      <w:pPr>
        <w:spacing w:after="160"/>
      </w:pPr>
      <w:r>
        <w:rPr>
          <w:color w:val="475463"/>
        </w:rPr>
        <w:t xml:space="preserve">By signing below, both parties agree to the scope, deliverables, and terms outlined in this Statement of Work.</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bCs/>
                <w:color w:val="475463"/>
                <w:sz w:val="20"/>
                <w:szCs w:val="20"/>
              </w:rPr>
              <w:t xml:space="preserve">Bolaji B. Adeeko LLC</w:t>
            </w:r>
          </w:p>
        </w:tc>
        <w:tc>
          <w:tcPr>
            <w:tcW w:type="dxa" w:w="312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bCs/>
                <w:color w:val="475463"/>
                <w:sz w:val="20"/>
                <w:szCs w:val="20"/>
              </w:rPr>
              <w:t xml:space="preserve">Client Organization</w:t>
            </w:r>
          </w:p>
        </w:tc>
      </w:tr>
      <w:tr>
        <w:tc>
          <w:tcPr>
            <w:tcW w:type="dxa" w:w="4680"/>
            <w:tcBorders>
              <w:top w:val="single" w:color="CCCCCC" w:sz="1"/>
              <w:left w:val="single" w:color="CCCCCC" w:sz="1"/>
              <w:bottom w:val="single" w:color="CCCCCC" w:sz="1"/>
              <w:right w:val="single" w:color="CCCCCC" w:sz="1"/>
            </w:tcBorders>
            <w:tcMar>
              <w:top w:type="dxa" w:w="600"/>
              <w:left w:type="dxa" w:w="120"/>
              <w:bottom w:type="dxa" w:w="100"/>
              <w:right w:type="dxa" w:w="120"/>
            </w:tcMar>
          </w:tcPr>
          <w:p>
            <w:r>
              <w:rPr>
                <w:color w:val="475463"/>
              </w:rPr>
              <w:t xml:space="preserve">Signature: ___________________________</w:t>
            </w:r>
          </w:p>
        </w:tc>
        <w:tc>
          <w:tcPr>
            <w:tcW w:type="dxa" w:w="4680"/>
            <w:tcBorders>
              <w:top w:val="single" w:color="CCCCCC" w:sz="1"/>
              <w:left w:val="single" w:color="CCCCCC" w:sz="1"/>
              <w:bottom w:val="single" w:color="CCCCCC" w:sz="1"/>
              <w:right w:val="single" w:color="CCCCCC" w:sz="1"/>
            </w:tcBorders>
            <w:tcMar>
              <w:top w:type="dxa" w:w="600"/>
              <w:left w:type="dxa" w:w="120"/>
              <w:bottom w:type="dxa" w:w="100"/>
              <w:right w:type="dxa" w:w="120"/>
            </w:tcMar>
          </w:tcPr>
          <w:p>
            <w:r>
              <w:rPr>
                <w:color w:val="475463"/>
              </w:rPr>
              <w:t xml:space="preserve">Signature: ___________________________</w:t>
            </w:r>
          </w:p>
        </w:tc>
      </w:tr>
      <w:tr>
        <w:tc>
          <w:tcPr>
            <w:tcW w:type="dxa" w:w="468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color w:val="475463"/>
              </w:rPr>
              <w:t xml:space="preserve">Date: ___________________________</w:t>
            </w:r>
          </w:p>
        </w:tc>
        <w:tc>
          <w:tcPr>
            <w:tcW w:type="dxa" w:w="468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color w:val="475463"/>
              </w:rPr>
              <w:t xml:space="preserve">Date: ___________________________</w:t>
            </w:r>
          </w:p>
        </w:tc>
      </w:tr>
    </w:tbl>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475463"/>
        <w:sz w:val="16"/>
        <w:szCs w:val="16"/>
      </w:rPr>
      <w:t xml:space="preserve">Confidential — Prepared for Discussion Purposes</w:t>
    </w:r>
    <w:r>
      <w:rPr>
        <w:color w:val="475463"/>
        <w:sz w:val="16"/>
        <w:szCs w:val="16"/>
      </w:rPr>
      <w:t xml:space="preserve">	Page </w:t>
    </w:r>
    <w:r>
      <w:rPr>
        <w:color w:val="4754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68AC" w:sz="6" w:space="4"/>
      </w:pBdr>
      <w:tabs>
        <w:tab w:val="right" w:pos="9026"/>
      </w:tabs>
    </w:pPr>
    <w:r>
      <w:rPr>
        <w:b/>
        <w:bCs/>
        <w:color w:val="0B2545"/>
        <w:sz w:val="18"/>
        <w:szCs w:val="18"/>
      </w:rPr>
      <w:t xml:space="preserve">BOLAJI B. ADEEKO LLC</w:t>
    </w:r>
    <w:r>
      <w:rPr>
        <w:color w:val="475463"/>
        <w:sz w:val="18"/>
        <w:szCs w:val="18"/>
      </w:rPr>
      <w:t xml:space="preserve">	STATEMENT OF 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47546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0B2545"/>
      <w:sz w:val="34"/>
      <w:szCs w:val="34"/>
    </w:rPr>
  </w:style>
  <w:style w:type="paragraph" w:styleId="Heading2">
    <w:name w:val="Heading 2"/>
    <w:basedOn w:val="Normal"/>
    <w:next w:val="Normal"/>
    <w:qFormat/>
    <w:pPr>
      <w:spacing w:after="140" w:before="260"/>
      <w:outlineLvl w:val="1"/>
    </w:pPr>
    <w:rPr>
      <w:rFonts w:ascii="Calibri" w:cs="Calibri" w:eastAsia="Calibri" w:hAnsi="Calibri"/>
      <w:b/>
      <w:bCs/>
      <w:color w:val="1768A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2026-06-23T17:22:34.596Z</dcterms:created>
  <dcterms:modified xsi:type="dcterms:W3CDTF">2026-06-23T17:22:34.596Z</dcterms:modified>
</cp:coreProperties>
</file>

<file path=docProps/custom.xml><?xml version="1.0" encoding="utf-8"?>
<Properties xmlns="http://schemas.openxmlformats.org/officeDocument/2006/custom-properties" xmlns:vt="http://schemas.openxmlformats.org/officeDocument/2006/docPropsVTypes"/>
</file>